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</w:t>
      </w:r>
      <w:r>
        <w:rPr>
          <w:b/>
          <w:highlight w:val="yellow"/>
        </w:rPr>
        <w:t>[DESEMBARGADOR(A) / MINISTRO(A)]</w:t>
      </w:r>
      <w:r>
        <w:rPr>
          <w:b/>
        </w:rPr>
        <w:t xml:space="preserve"> RELATOR(A) DO </w:t>
      </w:r>
      <w:r>
        <w:rPr>
          <w:b/>
          <w:highlight w:val="yellow"/>
        </w:rPr>
        <w:t>[RECURSO / AÇÃO]</w:t>
      </w:r>
      <w:r>
        <w:rPr>
          <w:b/>
        </w:rPr>
        <w:t xml:space="preserve"> Nº </w:t>
      </w:r>
      <w:r>
        <w:rPr>
          <w:b/>
          <w:highlight w:val="yellow"/>
        </w:rPr>
        <w:t>[número no padrão CNJ]</w:t>
      </w:r>
      <w:r>
        <w:rPr>
          <w:b/>
        </w:rPr>
        <w:t xml:space="preserve"> — </w:t>
      </w:r>
      <w:r>
        <w:rPr>
          <w:b/>
          <w:highlight w:val="yellow"/>
        </w:rPr>
        <w:t>[ÓRGÃO JULGADOR]</w:t>
      </w:r>
      <w:r>
        <w:rPr>
          <w:b/>
        </w:rPr>
        <w:t xml:space="preserve"> DO </w:t>
      </w:r>
      <w:r>
        <w:rPr>
          <w:b/>
          <w:highlight w:val="yellow"/>
        </w:rPr>
        <w:t>[TRIBUNAL]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AGRAVANTE]</w:t>
      </w:r>
      <w:r>
        <w:rPr>
          <w:b w:val="0"/>
        </w:rPr>
        <w:t xml:space="preserve">, já qualificado(a) nos autos, por seu(sua) advogado(a) </w:t>
      </w:r>
      <w:r>
        <w:rPr>
          <w:b w:val="0"/>
          <w:highlight w:val="yellow"/>
        </w:rPr>
        <w:t>[nome]</w:t>
      </w:r>
      <w:r>
        <w:rPr>
          <w:b w:val="0"/>
        </w:rPr>
        <w:t>,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nos autos do </w:t>
      </w:r>
      <w:r>
        <w:rPr>
          <w:b w:val="0"/>
          <w:highlight w:val="yellow"/>
        </w:rPr>
        <w:t>[recurso / da ação]</w:t>
      </w:r>
      <w:r>
        <w:rPr>
          <w:b w:val="0"/>
        </w:rPr>
        <w:t xml:space="preserve"> em que contende com </w:t>
      </w:r>
      <w:r>
        <w:rPr>
          <w:b w:val="0"/>
          <w:highlight w:val="yellow"/>
        </w:rPr>
        <w:t>[NOME DO AGRAVADO]</w:t>
      </w:r>
      <w:r>
        <w:rPr>
          <w:b w:val="0"/>
        </w:rPr>
        <w:t xml:space="preserve">, vem, respeitosamente, com fundamento no art. 1.021 do Código de Processo Civil e no art. </w:t>
      </w:r>
      <w:r>
        <w:rPr>
          <w:b w:val="0"/>
          <w:highlight w:val="yellow"/>
        </w:rPr>
        <w:t>[__]</w:t>
      </w:r>
      <w:r>
        <w:rPr>
          <w:b w:val="0"/>
        </w:rPr>
        <w:t xml:space="preserve"> do Regimento Interno do </w:t>
      </w:r>
      <w:r>
        <w:rPr>
          <w:b w:val="0"/>
          <w:highlight w:val="yellow"/>
        </w:rPr>
        <w:t>[tribunal]</w:t>
      </w:r>
      <w:r>
        <w:rPr>
          <w:b w:val="0"/>
        </w:rPr>
        <w:t>, interpor</w:t>
      </w:r>
    </w:p>
    <w:p>
      <w:pPr>
        <w:spacing w:after="160" w:line="360" w:lineRule="auto"/>
        <w:jc w:val="center"/>
      </w:pPr>
      <w:r>
        <w:rPr>
          <w:b/>
        </w:rPr>
        <w:t>AGRAVO INTERNO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contra a decisão monocrática de </w:t>
      </w:r>
      <w:r>
        <w:rPr>
          <w:b w:val="0"/>
          <w:highlight w:val="yellow"/>
        </w:rPr>
        <w:t>[ID/fls.]</w:t>
      </w:r>
      <w:r>
        <w:rPr>
          <w:b w:val="0"/>
        </w:rPr>
        <w:t xml:space="preserve">, que </w:t>
      </w:r>
      <w:r>
        <w:rPr>
          <w:b w:val="0"/>
          <w:highlight w:val="yellow"/>
        </w:rPr>
        <w:t>[negou provimento / não conheceu / deu provimento]</w:t>
      </w:r>
      <w:r>
        <w:rPr>
          <w:b w:val="0"/>
        </w:rPr>
        <w:t xml:space="preserve"> ao </w:t>
      </w:r>
      <w:r>
        <w:rPr>
          <w:b w:val="0"/>
          <w:highlight w:val="yellow"/>
        </w:rPr>
        <w:t>[recurso]</w:t>
      </w:r>
      <w:r>
        <w:rPr>
          <w:b w:val="0"/>
        </w:rPr>
        <w:t xml:space="preserve">, com fundamento no art. </w:t>
      </w:r>
      <w:r>
        <w:rPr>
          <w:b w:val="0"/>
          <w:highlight w:val="yellow"/>
        </w:rPr>
        <w:t>[932, III, IV ou V]</w:t>
      </w:r>
      <w:r>
        <w:rPr>
          <w:b w:val="0"/>
        </w:rPr>
        <w:t xml:space="preserve"> do CPC, pelas razões a seguir, requerendo a retratação ou, não sendo o caso, a submissão do recurso ao(à) </w:t>
      </w:r>
      <w:r>
        <w:rPr>
          <w:b w:val="0"/>
          <w:highlight w:val="yellow"/>
        </w:rPr>
        <w:t>[Turma / Câmara / Seção]</w:t>
      </w:r>
      <w:r>
        <w:rPr>
          <w:b w:val="0"/>
        </w:rPr>
        <w:t xml:space="preserve"> (art. 1.021, § 2º).</w:t>
      </w:r>
    </w:p>
    <w:p>
      <w:pPr>
        <w:spacing w:after="160" w:line="360" w:lineRule="auto"/>
        <w:jc w:val="left"/>
      </w:pPr>
      <w:r>
        <w:rPr>
          <w:b/>
        </w:rPr>
        <w:t>I. TEMPESTIVIDADE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decisão foi disponibilizada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e a intimação considera-se realizada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O prazo de 15 dias úteis (arts. 219, 1.003, § 5º, e 1.070 do CPC) termina em </w:t>
      </w:r>
      <w:r>
        <w:rPr>
          <w:b w:val="0"/>
          <w:highlight w:val="yellow"/>
        </w:rPr>
        <w:t>[data]</w:t>
      </w:r>
      <w:r>
        <w:rPr>
          <w:b w:val="0"/>
        </w:rPr>
        <w:t>. O recurso é tempestivo.</w:t>
      </w:r>
    </w:p>
    <w:p>
      <w:pPr>
        <w:spacing w:after="160" w:line="360" w:lineRule="auto"/>
        <w:jc w:val="left"/>
      </w:pPr>
      <w:r>
        <w:rPr>
          <w:b/>
        </w:rPr>
        <w:t>II. A DECISÃO AGRAVADA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decisão se apoia nos seguintes fundamentos: </w:t>
      </w:r>
      <w:r>
        <w:rPr>
          <w:b w:val="0"/>
          <w:highlight w:val="yellow"/>
        </w:rPr>
        <w:t>[1. o primeiro fundamento, com o trecho transcrito e o ID/fls.; 2. o segundo; …]</w:t>
      </w:r>
      <w:r>
        <w:rPr>
          <w:b w:val="0"/>
        </w:rPr>
        <w:t xml:space="preserve">. </w:t>
      </w:r>
      <w:r>
        <w:rPr>
          <w:b w:val="0"/>
          <w:highlight w:val="yellow"/>
        </w:rPr>
        <w:t>[Liste todos: o fundamento não impugnado basta para manter a decisão.]</w:t>
      </w:r>
    </w:p>
    <w:p>
      <w:pPr>
        <w:spacing w:after="160" w:line="360" w:lineRule="auto"/>
        <w:jc w:val="left"/>
      </w:pPr>
      <w:r>
        <w:rPr>
          <w:b/>
        </w:rPr>
        <w:t>III. IMPUGNAÇÃO ESPECÍFICA DOS FUNDAMENTOS (art. 1.021, § 1º, do CPC)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III.1 Quanto ao primeiro fundamento ("</w:t>
      </w:r>
      <w:r>
        <w:rPr>
          <w:b w:val="0"/>
          <w:highlight w:val="yellow"/>
        </w:rPr>
        <w:t>[trecho]</w:t>
      </w:r>
      <w:r>
        <w:rPr>
          <w:b w:val="0"/>
        </w:rPr>
        <w:t xml:space="preserve">"): </w:t>
      </w:r>
      <w:r>
        <w:rPr>
          <w:b w:val="0"/>
          <w:highlight w:val="yellow"/>
        </w:rPr>
        <w:t>[por que está errado, com a prova dos autos pelo ID/fls. e o precedente aplicável, com número, órgão julgador e data]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III.2 Quanto ao segundo fundamento ("</w:t>
      </w:r>
      <w:r>
        <w:rPr>
          <w:b w:val="0"/>
          <w:highlight w:val="yellow"/>
        </w:rPr>
        <w:t>[trecho]</w:t>
      </w:r>
      <w:r>
        <w:rPr>
          <w:b w:val="0"/>
        </w:rPr>
        <w:t xml:space="preserve">"): </w:t>
      </w:r>
      <w:r>
        <w:rPr>
          <w:b w:val="0"/>
          <w:highlight w:val="yellow"/>
        </w:rPr>
        <w:t>[idem]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[Se a decisão aplicou súmula ou precedente (art. 932, IV ou V): demonstrar a distinção do caso, ou a superação do entendimento, em vez de repetir o mérito do recurso anterior.]</w:t>
      </w:r>
    </w:p>
    <w:p>
      <w:pPr>
        <w:spacing w:after="160" w:line="360" w:lineRule="auto"/>
        <w:jc w:val="left"/>
      </w:pPr>
      <w:r>
        <w:rPr>
          <w:b/>
        </w:rPr>
        <w:t>IV. DO NÃO CABIMENTO DA MULTA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agravo não é manifestamente inadmissível nem improcedente: </w:t>
      </w:r>
      <w:r>
        <w:rPr>
          <w:b w:val="0"/>
          <w:highlight w:val="yellow"/>
        </w:rPr>
        <w:t>[razão objetiva, como a distinção demonstrada, o precedente não aplicado ou a divergência no próprio tribunal]</w:t>
      </w:r>
      <w:r>
        <w:rPr>
          <w:b w:val="0"/>
        </w:rPr>
        <w:t>, o que afasta a multa do art. 1.021, § 4º, do CPC.</w:t>
      </w:r>
    </w:p>
    <w:p>
      <w:pPr>
        <w:spacing w:after="160" w:line="360" w:lineRule="auto"/>
        <w:jc w:val="left"/>
      </w:pPr>
      <w:r>
        <w:rPr>
          <w:b/>
        </w:rPr>
        <w:t>V.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Diante do exposto, requer: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a) a retratação da decisão agravada (art. 1.021, § 2º, do CPC);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b) não havendo retratação, a intimação do(a) agravado(a) para se manifestar em 15 dias e a inclusão do agravo em pauta para julgamento pelo(a) </w:t>
      </w:r>
      <w:r>
        <w:rPr>
          <w:b w:val="0"/>
          <w:highlight w:val="yellow"/>
        </w:rPr>
        <w:t>[órgão colegiado]</w:t>
      </w:r>
      <w:r>
        <w:rPr>
          <w:b w:val="0"/>
        </w:rPr>
        <w:t xml:space="preserve"> (art. 1.021, § 2º);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c) o provimento do agravo para </w:t>
      </w:r>
      <w:r>
        <w:rPr>
          <w:b w:val="0"/>
          <w:highlight w:val="yellow"/>
        </w:rPr>
        <w:t>[reformar a decisão e dar provimento ao recurso / determinar o processamento do recurso / …]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d) </w:t>
      </w:r>
      <w:r>
        <w:rPr>
          <w:b w:val="0"/>
          <w:highlight w:val="yellow"/>
        </w:rPr>
        <w:t>[a intimação para sustentação oral, se cabível (art. 7º, § 2º-B, da Lei 8.906/1994, e o regimento interno).]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agravo interno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